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BB4" w:rsidRPr="008B7BB4" w:rsidRDefault="008B7BB4" w:rsidP="008B7BB4">
      <w:pPr>
        <w:pStyle w:val="a4"/>
        <w:tabs>
          <w:tab w:val="left" w:pos="0"/>
          <w:tab w:val="left" w:pos="567"/>
        </w:tabs>
        <w:ind w:left="0" w:firstLine="0"/>
        <w:jc w:val="both"/>
        <w:rPr>
          <w:rFonts w:ascii="Times New Roman" w:eastAsiaTheme="minorEastAsia" w:hAnsi="Times New Roman" w:cs="Times New Roman"/>
          <w:b/>
          <w:sz w:val="24"/>
          <w:szCs w:val="24"/>
          <w:lang w:val="kk-KZ"/>
        </w:rPr>
      </w:pPr>
      <w:r w:rsidRPr="008B7BB4">
        <w:rPr>
          <w:rFonts w:ascii="Times New Roman" w:eastAsiaTheme="minorEastAsia" w:hAnsi="Times New Roman" w:cs="Times New Roman"/>
          <w:b/>
          <w:sz w:val="24"/>
          <w:szCs w:val="24"/>
          <w:lang w:val="kk-KZ"/>
        </w:rPr>
        <w:t>Тәжірибелік сабақ 3</w:t>
      </w:r>
    </w:p>
    <w:p w:rsidR="008B7BB4" w:rsidRP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 xml:space="preserve">Найзағайға қарсы қондырғының қорғаныс әсері найзағайдың биік әрі жақсы жерге қосылған элементтерді таңдайтынына негізделген. </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 xml:space="preserve">Сондықтан жерге қосу элементтерін есептеген кезде міндетті түрде оның биіктігі Н мен жерге қосу қонтурының кедергісін </w:t>
      </w:r>
      <m:oMath>
        <m:r>
          <m:rPr>
            <m:sty m:val="p"/>
          </m:rPr>
          <w:rPr>
            <w:rFonts w:ascii="Cambria Math" w:hAnsi="Cambria Math" w:cs="Times New Roman"/>
            <w:sz w:val="28"/>
            <w:szCs w:val="24"/>
            <w:lang w:val="kk-KZ"/>
          </w:rPr>
          <m:t>R</m:t>
        </m:r>
      </m:oMath>
      <w:r>
        <w:rPr>
          <w:rFonts w:ascii="Times New Roman" w:eastAsiaTheme="minorEastAsia" w:hAnsi="Times New Roman" w:cs="Times New Roman"/>
          <w:sz w:val="24"/>
          <w:szCs w:val="24"/>
          <w:lang w:val="kk-KZ"/>
        </w:rPr>
        <w:t xml:space="preserve"> анықтау қажет. Найзағайға қарсы қондырғыны жерге қосу найзағайдың тогын қауіпсіз жолмен жерге жіберу үшін керек.  </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Электр тарату желілерінің және қосалқы станцияларының найзағайға беріктігін қамтамасыз ету үшін найзағайдың импульсты токтарының жерге қосу электродтары арқылы өтуі кезінде ток тығыздығы өте жоғары болатындығын ескеру керек. Сондықтан жерге қосқыштың кедергісі, яғни импульсты кедергісі стационарлы кедергіден өзгешеленеді. Импульсты және стационарлы кедергілердің қатынасы импульсті коэффициент деп аталады:</w:t>
      </w:r>
    </w:p>
    <w:p w:rsidR="008B7BB4" w:rsidRDefault="008B7BB4" w:rsidP="008B7BB4">
      <w:pPr>
        <w:pStyle w:val="a4"/>
        <w:tabs>
          <w:tab w:val="left" w:pos="0"/>
          <w:tab w:val="left" w:pos="567"/>
        </w:tabs>
        <w:ind w:left="0" w:firstLine="0"/>
        <w:jc w:val="center"/>
        <w:rPr>
          <w:rFonts w:ascii="Times New Roman" w:eastAsiaTheme="minorEastAsia" w:hAnsi="Times New Roman" w:cs="Times New Roman"/>
          <w:i/>
          <w:sz w:val="28"/>
          <w:szCs w:val="24"/>
          <w:lang w:val="kk-KZ"/>
        </w:rPr>
      </w:pPr>
      <m:oMathPara>
        <m:oMath>
          <m:sSub>
            <m:sSubPr>
              <m:ctrlPr>
                <w:rPr>
                  <w:rFonts w:ascii="Cambria Math" w:eastAsiaTheme="minorEastAsia" w:hAnsi="Cambria Math" w:cs="Times New Roman"/>
                  <w:i/>
                  <w:sz w:val="28"/>
                  <w:szCs w:val="24"/>
                  <w:lang w:val="kk-KZ"/>
                </w:rPr>
              </m:ctrlPr>
            </m:sSubPr>
            <m:e>
              <m:r>
                <w:rPr>
                  <w:rFonts w:ascii="Cambria Math" w:eastAsiaTheme="minorEastAsia" w:hAnsi="Cambria Math" w:cs="Times New Roman"/>
                  <w:sz w:val="28"/>
                  <w:szCs w:val="24"/>
                  <w:lang w:val="kk-KZ"/>
                </w:rPr>
                <m:t>α</m:t>
              </m:r>
            </m:e>
            <m:sub>
              <m:r>
                <w:rPr>
                  <w:rFonts w:ascii="Cambria Math" w:eastAsiaTheme="minorEastAsia" w:hAnsi="Cambria Math" w:cs="Times New Roman"/>
                  <w:sz w:val="28"/>
                  <w:szCs w:val="24"/>
                  <w:lang w:val="kk-KZ"/>
                </w:rPr>
                <m:t>И</m:t>
              </m:r>
            </m:sub>
          </m:sSub>
          <m:r>
            <w:rPr>
              <w:rFonts w:ascii="Cambria Math" w:eastAsiaTheme="minorEastAsia" w:hAnsi="Cambria Math" w:cs="Times New Roman"/>
              <w:sz w:val="28"/>
              <w:szCs w:val="24"/>
            </w:rPr>
            <m:t>=</m:t>
          </m:r>
          <m:f>
            <m:fPr>
              <m:ctrlPr>
                <w:rPr>
                  <w:rFonts w:ascii="Cambria Math" w:eastAsiaTheme="minorEastAsia" w:hAnsi="Cambria Math" w:cs="Times New Roman"/>
                  <w:i/>
                  <w:sz w:val="28"/>
                  <w:szCs w:val="24"/>
                </w:rPr>
              </m:ctrlPr>
            </m:fPr>
            <m:num>
              <m:sSub>
                <m:sSubPr>
                  <m:ctrlPr>
                    <w:rPr>
                      <w:rFonts w:ascii="Cambria Math" w:eastAsiaTheme="minorEastAsia" w:hAnsi="Cambria Math" w:cs="Times New Roman"/>
                      <w:i/>
                      <w:sz w:val="28"/>
                      <w:szCs w:val="24"/>
                      <w:lang w:val="en-US"/>
                    </w:rPr>
                  </m:ctrlPr>
                </m:sSubPr>
                <m:e>
                  <m:r>
                    <w:rPr>
                      <w:rFonts w:ascii="Cambria Math" w:eastAsiaTheme="minorEastAsia" w:hAnsi="Cambria Math" w:cs="Times New Roman"/>
                      <w:sz w:val="28"/>
                      <w:szCs w:val="24"/>
                      <w:lang w:val="en-US"/>
                    </w:rPr>
                    <m:t>R</m:t>
                  </m:r>
                </m:e>
                <m:sub>
                  <m:r>
                    <w:rPr>
                      <w:rFonts w:ascii="Cambria Math" w:eastAsiaTheme="minorEastAsia" w:hAnsi="Cambria Math" w:cs="Times New Roman"/>
                      <w:sz w:val="28"/>
                      <w:szCs w:val="24"/>
                      <w:lang w:val="kk-KZ"/>
                    </w:rPr>
                    <m:t>и</m:t>
                  </m:r>
                </m:sub>
              </m:sSub>
            </m:num>
            <m:den>
              <m:r>
                <w:rPr>
                  <w:rFonts w:ascii="Cambria Math" w:eastAsiaTheme="minorEastAsia" w:hAnsi="Cambria Math" w:cs="Times New Roman"/>
                  <w:sz w:val="28"/>
                  <w:szCs w:val="24"/>
                  <w:lang w:val="en-US"/>
                </w:rPr>
                <m:t>R</m:t>
              </m:r>
            </m:den>
          </m:f>
        </m:oMath>
      </m:oMathPara>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 xml:space="preserve">Импульсті коэффициенттердің мәні 3.3 кестеде берілген. </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 xml:space="preserve">Егер жерге қосқыш контур түрінде орындалса, онда қолдану коэффициентін енгізу арқылы электродтардың өзара экрандалу әсерін есерген қажет. Бұл жағдайда импульсті кедергі келесі түрде анықталады: </w:t>
      </w:r>
    </w:p>
    <w:p w:rsidR="008B7BB4" w:rsidRDefault="008B7BB4" w:rsidP="008B7BB4">
      <w:pPr>
        <w:pStyle w:val="a4"/>
        <w:tabs>
          <w:tab w:val="left" w:pos="0"/>
          <w:tab w:val="left" w:pos="567"/>
        </w:tabs>
        <w:ind w:left="0" w:firstLine="0"/>
        <w:jc w:val="center"/>
        <w:rPr>
          <w:rFonts w:ascii="Times New Roman" w:eastAsiaTheme="minorEastAsia" w:hAnsi="Times New Roman" w:cs="Times New Roman"/>
          <w:i/>
          <w:sz w:val="28"/>
          <w:szCs w:val="24"/>
          <w:lang w:val="en-US"/>
        </w:rPr>
      </w:pPr>
      <m:oMathPara>
        <m:oMath>
          <m:sSub>
            <m:sSubPr>
              <m:ctrlPr>
                <w:rPr>
                  <w:rFonts w:ascii="Cambria Math" w:eastAsiaTheme="minorEastAsia" w:hAnsi="Cambria Math" w:cs="Times New Roman"/>
                  <w:i/>
                  <w:sz w:val="28"/>
                  <w:szCs w:val="24"/>
                  <w:lang w:val="kk-KZ"/>
                </w:rPr>
              </m:ctrlPr>
            </m:sSubPr>
            <m:e>
              <m:r>
                <w:rPr>
                  <w:rFonts w:ascii="Cambria Math" w:eastAsiaTheme="minorEastAsia" w:hAnsi="Cambria Math" w:cs="Times New Roman"/>
                  <w:sz w:val="28"/>
                  <w:szCs w:val="24"/>
                  <w:lang w:val="en-US"/>
                </w:rPr>
                <m:t>R</m:t>
              </m:r>
            </m:e>
            <m:sub>
              <m:r>
                <w:rPr>
                  <w:rFonts w:ascii="Cambria Math" w:eastAsiaTheme="minorEastAsia" w:hAnsi="Cambria Math" w:cs="Times New Roman"/>
                  <w:sz w:val="28"/>
                  <w:szCs w:val="24"/>
                  <w:lang w:val="kk-KZ"/>
                </w:rPr>
                <m:t>И</m:t>
              </m:r>
            </m:sub>
          </m:sSub>
          <m:r>
            <w:rPr>
              <w:rFonts w:ascii="Cambria Math" w:eastAsiaTheme="minorEastAsia" w:hAnsi="Cambria Math" w:cs="Times New Roman"/>
              <w:sz w:val="28"/>
              <w:szCs w:val="24"/>
            </w:rPr>
            <m:t>=</m:t>
          </m:r>
          <m:f>
            <m:fPr>
              <m:ctrlPr>
                <w:rPr>
                  <w:rFonts w:ascii="Cambria Math" w:eastAsiaTheme="minorEastAsia" w:hAnsi="Cambria Math" w:cs="Times New Roman"/>
                  <w:i/>
                  <w:sz w:val="28"/>
                  <w:szCs w:val="24"/>
                </w:rPr>
              </m:ctrlPr>
            </m:fPr>
            <m:num>
              <m:sSub>
                <m:sSubPr>
                  <m:ctrlPr>
                    <w:rPr>
                      <w:rFonts w:ascii="Cambria Math" w:eastAsiaTheme="minorEastAsia" w:hAnsi="Cambria Math" w:cs="Times New Roman"/>
                      <w:i/>
                      <w:sz w:val="28"/>
                      <w:szCs w:val="24"/>
                      <w:lang w:val="kk-KZ"/>
                    </w:rPr>
                  </m:ctrlPr>
                </m:sSubPr>
                <m:e>
                  <m:r>
                    <w:rPr>
                      <w:rFonts w:ascii="Cambria Math" w:eastAsiaTheme="minorEastAsia" w:hAnsi="Cambria Math" w:cs="Times New Roman"/>
                      <w:sz w:val="28"/>
                      <w:szCs w:val="24"/>
                      <w:lang w:val="kk-KZ"/>
                    </w:rPr>
                    <m:t>α</m:t>
                  </m:r>
                </m:e>
                <m:sub>
                  <m:r>
                    <w:rPr>
                      <w:rFonts w:ascii="Cambria Math" w:eastAsiaTheme="minorEastAsia" w:hAnsi="Cambria Math" w:cs="Times New Roman"/>
                      <w:sz w:val="28"/>
                      <w:szCs w:val="24"/>
                      <w:lang w:val="kk-KZ"/>
                    </w:rPr>
                    <m:t>И</m:t>
                  </m:r>
                </m:sub>
              </m:sSub>
              <m:r>
                <w:rPr>
                  <w:rFonts w:ascii="Cambria Math" w:eastAsiaTheme="minorEastAsia" w:hAnsi="Cambria Math" w:cs="Times New Roman"/>
                  <w:sz w:val="28"/>
                  <w:szCs w:val="24"/>
                  <w:lang w:val="en-US"/>
                </w:rPr>
                <m:t>R</m:t>
              </m:r>
            </m:num>
            <m:den>
              <m:sSub>
                <m:sSubPr>
                  <m:ctrlPr>
                    <w:rPr>
                      <w:rFonts w:ascii="Cambria Math" w:eastAsiaTheme="minorEastAsia" w:hAnsi="Cambria Math" w:cs="Times New Roman"/>
                      <w:i/>
                      <w:sz w:val="28"/>
                      <w:szCs w:val="24"/>
                      <w:lang w:val="en-US"/>
                    </w:rPr>
                  </m:ctrlPr>
                </m:sSubPr>
                <m:e>
                  <m:r>
                    <w:rPr>
                      <w:rFonts w:ascii="Cambria Math" w:eastAsiaTheme="minorEastAsia" w:hAnsi="Cambria Math" w:cs="Times New Roman"/>
                      <w:sz w:val="28"/>
                      <w:szCs w:val="24"/>
                      <w:lang w:val="en-US"/>
                    </w:rPr>
                    <m:t>η</m:t>
                  </m:r>
                </m:e>
                <m:sub>
                  <m:r>
                    <w:rPr>
                      <w:rFonts w:ascii="Cambria Math" w:eastAsiaTheme="minorEastAsia" w:hAnsi="Cambria Math" w:cs="Times New Roman"/>
                      <w:sz w:val="28"/>
                      <w:szCs w:val="24"/>
                      <w:lang w:val="en-US"/>
                    </w:rPr>
                    <m:t>И</m:t>
                  </m:r>
                </m:sub>
              </m:sSub>
              <m:r>
                <w:rPr>
                  <w:rFonts w:ascii="Cambria Math" w:eastAsiaTheme="minorEastAsia" w:hAnsi="Cambria Math" w:cs="Times New Roman"/>
                  <w:sz w:val="28"/>
                  <w:szCs w:val="24"/>
                  <w:lang w:val="en-US"/>
                </w:rPr>
                <m:t>∙n</m:t>
              </m:r>
            </m:den>
          </m:f>
        </m:oMath>
      </m:oMathPara>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8"/>
          <w:szCs w:val="24"/>
          <w:lang w:val="kk-KZ"/>
        </w:rPr>
      </w:pPr>
      <w:r>
        <w:rPr>
          <w:rFonts w:ascii="Times New Roman" w:eastAsiaTheme="minorEastAsia" w:hAnsi="Times New Roman" w:cs="Times New Roman"/>
          <w:sz w:val="24"/>
          <w:szCs w:val="24"/>
          <w:lang w:val="en-US"/>
        </w:rPr>
        <w:t>n</w:t>
      </w:r>
      <w:r>
        <w:rPr>
          <w:rFonts w:ascii="Times New Roman" w:eastAsiaTheme="minorEastAsia" w:hAnsi="Times New Roman" w:cs="Times New Roman"/>
          <w:sz w:val="24"/>
          <w:szCs w:val="24"/>
          <w:lang w:val="kk-KZ"/>
        </w:rPr>
        <w:t xml:space="preserve"> – </w:t>
      </w:r>
      <w:proofErr w:type="gramStart"/>
      <w:r>
        <w:rPr>
          <w:rFonts w:ascii="Times New Roman" w:eastAsiaTheme="minorEastAsia" w:hAnsi="Times New Roman" w:cs="Times New Roman"/>
          <w:sz w:val="24"/>
          <w:szCs w:val="24"/>
          <w:lang w:val="kk-KZ"/>
        </w:rPr>
        <w:t>вертикаль</w:t>
      </w:r>
      <w:proofErr w:type="gramEnd"/>
      <w:r>
        <w:rPr>
          <w:rFonts w:ascii="Times New Roman" w:eastAsiaTheme="minorEastAsia" w:hAnsi="Times New Roman" w:cs="Times New Roman"/>
          <w:sz w:val="24"/>
          <w:szCs w:val="24"/>
          <w:lang w:val="kk-KZ"/>
        </w:rPr>
        <w:t xml:space="preserve"> жерге қосқыштар саны, </w:t>
      </w:r>
      <m:oMath>
        <m:sSub>
          <m:sSubPr>
            <m:ctrlPr>
              <w:rPr>
                <w:rFonts w:ascii="Cambria Math" w:eastAsiaTheme="minorEastAsia" w:hAnsi="Cambria Math" w:cs="Times New Roman"/>
                <w:i/>
                <w:sz w:val="28"/>
                <w:szCs w:val="24"/>
                <w:lang w:val="en-US"/>
              </w:rPr>
            </m:ctrlPr>
          </m:sSubPr>
          <m:e>
            <m:r>
              <w:rPr>
                <w:rFonts w:ascii="Cambria Math" w:eastAsiaTheme="minorEastAsia" w:hAnsi="Cambria Math" w:cs="Times New Roman"/>
                <w:sz w:val="28"/>
                <w:szCs w:val="24"/>
                <w:lang w:val="en-US"/>
              </w:rPr>
              <m:t>η</m:t>
            </m:r>
          </m:e>
          <m:sub>
            <m:r>
              <w:rPr>
                <w:rFonts w:ascii="Cambria Math" w:eastAsiaTheme="minorEastAsia" w:hAnsi="Cambria Math" w:cs="Times New Roman"/>
                <w:sz w:val="28"/>
                <w:szCs w:val="24"/>
              </w:rPr>
              <m:t>И</m:t>
            </m:r>
          </m:sub>
        </m:sSub>
      </m:oMath>
      <w:r>
        <w:rPr>
          <w:rFonts w:ascii="Times New Roman" w:eastAsiaTheme="minorEastAsia" w:hAnsi="Times New Roman" w:cs="Times New Roman"/>
          <w:sz w:val="28"/>
          <w:szCs w:val="24"/>
          <w:lang w:val="kk-KZ"/>
        </w:rPr>
        <w:t xml:space="preserve"> - </w:t>
      </w:r>
      <w:r w:rsidRPr="00AE1AB7">
        <w:rPr>
          <w:rFonts w:ascii="Times New Roman" w:eastAsiaTheme="minorEastAsia" w:hAnsi="Times New Roman" w:cs="Times New Roman"/>
          <w:sz w:val="24"/>
          <w:szCs w:val="24"/>
          <w:lang w:val="kk-KZ"/>
        </w:rPr>
        <w:t>импульсті қолдану коэффициенті, мәні 6</w:t>
      </w:r>
      <w:r>
        <w:rPr>
          <w:rFonts w:ascii="Times New Roman" w:eastAsiaTheme="minorEastAsia" w:hAnsi="Times New Roman" w:cs="Times New Roman"/>
          <w:sz w:val="28"/>
          <w:szCs w:val="24"/>
          <w:lang w:val="kk-KZ"/>
        </w:rPr>
        <w:t xml:space="preserve">.3 </w:t>
      </w:r>
      <w:r w:rsidRPr="00AE1AB7">
        <w:rPr>
          <w:rFonts w:ascii="Times New Roman" w:eastAsiaTheme="minorEastAsia" w:hAnsi="Times New Roman" w:cs="Times New Roman"/>
          <w:sz w:val="24"/>
          <w:szCs w:val="24"/>
          <w:lang w:val="kk-KZ"/>
        </w:rPr>
        <w:t xml:space="preserve">кестеде көрсетілген. </w:t>
      </w:r>
    </w:p>
    <w:p w:rsidR="008B7BB4" w:rsidRPr="00AE1AB7"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sidRPr="00AE1AB7">
        <w:rPr>
          <w:rFonts w:ascii="Times New Roman" w:eastAsiaTheme="minorEastAsia" w:hAnsi="Times New Roman" w:cs="Times New Roman"/>
          <w:sz w:val="24"/>
          <w:szCs w:val="24"/>
          <w:lang w:val="kk-KZ"/>
        </w:rPr>
        <w:t>Кесте-6.3 Импульсті коэффициенттер мәні</w:t>
      </w:r>
    </w:p>
    <w:tbl>
      <w:tblPr>
        <w:tblStyle w:val="a3"/>
        <w:tblW w:w="0" w:type="auto"/>
        <w:tblLook w:val="04A0"/>
      </w:tblPr>
      <w:tblGrid>
        <w:gridCol w:w="613"/>
        <w:gridCol w:w="3606"/>
        <w:gridCol w:w="1134"/>
        <w:gridCol w:w="1134"/>
        <w:gridCol w:w="1134"/>
        <w:gridCol w:w="992"/>
        <w:gridCol w:w="958"/>
      </w:tblGrid>
      <w:tr w:rsidR="008B7BB4" w:rsidTr="00CC4F0C">
        <w:tc>
          <w:tcPr>
            <w:tcW w:w="613" w:type="dxa"/>
            <w:vMerge w:val="restart"/>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w:t>
            </w:r>
          </w:p>
        </w:tc>
        <w:tc>
          <w:tcPr>
            <w:tcW w:w="3606" w:type="dxa"/>
            <w:vMerge w:val="restart"/>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Жерге қосушы</w:t>
            </w:r>
          </w:p>
        </w:tc>
        <w:tc>
          <w:tcPr>
            <w:tcW w:w="4394" w:type="dxa"/>
            <w:gridSpan w:val="4"/>
          </w:tcPr>
          <w:p w:rsidR="008B7BB4" w:rsidRPr="00E53138"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ρ</w:t>
            </w:r>
            <w:r>
              <w:rPr>
                <w:rFonts w:ascii="Times New Roman" w:eastAsiaTheme="minorEastAsia" w:hAnsi="Times New Roman" w:cs="Times New Roman"/>
                <w:sz w:val="24"/>
                <w:szCs w:val="24"/>
                <w:vertAlign w:val="subscript"/>
                <w:lang w:val="kk-KZ"/>
              </w:rPr>
              <w:t>з</w:t>
            </w:r>
            <w:r>
              <w:rPr>
                <w:rFonts w:ascii="Times New Roman" w:eastAsiaTheme="minorEastAsia" w:hAnsi="Times New Roman" w:cs="Times New Roman"/>
                <w:sz w:val="24"/>
                <w:szCs w:val="24"/>
                <w:lang w:val="kk-KZ"/>
              </w:rPr>
              <w:t>, Ом*м</w:t>
            </w:r>
            <w:r w:rsidRPr="00E53138">
              <w:rPr>
                <w:rFonts w:ascii="Times New Roman" w:eastAsiaTheme="minorEastAsia" w:hAnsi="Times New Roman" w:cs="Times New Roman"/>
                <w:sz w:val="24"/>
                <w:szCs w:val="24"/>
                <w:lang w:val="kk-KZ"/>
              </w:rPr>
              <w:t xml:space="preserve"> топырақтың меншікті кедергісі кезіндегі </w:t>
            </w:r>
            <m:oMath>
              <m:sSub>
                <m:sSubPr>
                  <m:ctrlPr>
                    <w:rPr>
                      <w:rFonts w:ascii="Cambria Math" w:eastAsiaTheme="minorEastAsia" w:hAnsi="Cambria Math" w:cs="Times New Roman"/>
                      <w:i/>
                      <w:sz w:val="24"/>
                      <w:szCs w:val="24"/>
                      <w:lang w:val="kk-KZ"/>
                    </w:rPr>
                  </m:ctrlPr>
                </m:sSubPr>
                <m:e>
                  <m:r>
                    <w:rPr>
                      <w:rFonts w:ascii="Cambria Math" w:eastAsiaTheme="minorEastAsia" w:hAnsi="Cambria Math" w:cs="Times New Roman"/>
                      <w:sz w:val="24"/>
                      <w:szCs w:val="24"/>
                      <w:lang w:val="kk-KZ"/>
                    </w:rPr>
                    <m:t>α</m:t>
                  </m:r>
                </m:e>
                <m:sub>
                  <m:r>
                    <w:rPr>
                      <w:rFonts w:ascii="Cambria Math" w:eastAsiaTheme="minorEastAsia" w:hAnsi="Cambria Math" w:cs="Times New Roman"/>
                      <w:sz w:val="24"/>
                      <w:szCs w:val="24"/>
                      <w:lang w:val="kk-KZ"/>
                    </w:rPr>
                    <m:t>И</m:t>
                  </m:r>
                </m:sub>
              </m:sSub>
            </m:oMath>
          </w:p>
        </w:tc>
        <w:tc>
          <w:tcPr>
            <w:tcW w:w="958"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m:oMathPara>
              <m:oMath>
                <m:sSub>
                  <m:sSubPr>
                    <m:ctrlPr>
                      <w:rPr>
                        <w:rFonts w:ascii="Cambria Math" w:eastAsiaTheme="minorEastAsia" w:hAnsi="Cambria Math" w:cs="Times New Roman"/>
                        <w:i/>
                        <w:sz w:val="28"/>
                        <w:szCs w:val="24"/>
                        <w:lang w:val="en-US"/>
                      </w:rPr>
                    </m:ctrlPr>
                  </m:sSubPr>
                  <m:e>
                    <m:r>
                      <w:rPr>
                        <w:rFonts w:ascii="Cambria Math" w:eastAsiaTheme="minorEastAsia" w:hAnsi="Cambria Math" w:cs="Times New Roman"/>
                        <w:sz w:val="28"/>
                        <w:szCs w:val="24"/>
                        <w:lang w:val="en-US"/>
                      </w:rPr>
                      <m:t>η</m:t>
                    </m:r>
                  </m:e>
                  <m:sub>
                    <m:r>
                      <w:rPr>
                        <w:rFonts w:ascii="Cambria Math" w:eastAsiaTheme="minorEastAsia" w:hAnsi="Cambria Math" w:cs="Times New Roman"/>
                        <w:sz w:val="28"/>
                        <w:szCs w:val="24"/>
                        <w:lang w:val="en-US"/>
                      </w:rPr>
                      <m:t>И</m:t>
                    </m:r>
                  </m:sub>
                </m:sSub>
              </m:oMath>
            </m:oMathPara>
          </w:p>
        </w:tc>
      </w:tr>
      <w:tr w:rsidR="008B7BB4" w:rsidTr="00CC4F0C">
        <w:tc>
          <w:tcPr>
            <w:tcW w:w="613" w:type="dxa"/>
            <w:vMerge/>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tc>
        <w:tc>
          <w:tcPr>
            <w:tcW w:w="3606" w:type="dxa"/>
            <w:vMerge/>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100</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200</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500</w:t>
            </w:r>
          </w:p>
        </w:tc>
        <w:tc>
          <w:tcPr>
            <w:tcW w:w="992"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1000</w:t>
            </w:r>
          </w:p>
        </w:tc>
        <w:tc>
          <w:tcPr>
            <w:tcW w:w="958" w:type="dxa"/>
          </w:tcPr>
          <w:p w:rsidR="008B7BB4" w:rsidRPr="003033E4" w:rsidRDefault="008B7BB4" w:rsidP="00CC4F0C">
            <w:pPr>
              <w:pStyle w:val="a4"/>
              <w:tabs>
                <w:tab w:val="left" w:pos="0"/>
                <w:tab w:val="left" w:pos="567"/>
              </w:tabs>
              <w:ind w:left="0" w:firstLine="0"/>
              <w:jc w:val="both"/>
              <w:rPr>
                <w:rFonts w:ascii="Times New Roman" w:eastAsia="Times New Roman" w:hAnsi="Times New Roman" w:cs="Times New Roman"/>
                <w:sz w:val="28"/>
                <w:szCs w:val="24"/>
                <w:lang w:val="en-US"/>
              </w:rPr>
            </w:pPr>
          </w:p>
        </w:tc>
      </w:tr>
      <w:tr w:rsidR="008B7BB4" w:rsidTr="00CC4F0C">
        <w:tc>
          <w:tcPr>
            <w:tcW w:w="613"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1.1</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1.2</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1.3</w:t>
            </w:r>
          </w:p>
        </w:tc>
        <w:tc>
          <w:tcPr>
            <w:tcW w:w="3606"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Қисық арқылы жалғанған вертикаль стержньдер саны (стерженьдер ара қашықтығы олардың ұзындықтарынан екі есе көп)</w:t>
            </w:r>
          </w:p>
          <w:p w:rsidR="008B7BB4" w:rsidRDefault="008B7BB4" w:rsidP="00CC4F0C">
            <w:pPr>
              <w:pStyle w:val="a4"/>
              <w:tabs>
                <w:tab w:val="left" w:pos="0"/>
                <w:tab w:val="left" w:pos="567"/>
              </w:tabs>
              <w:ind w:left="0" w:firstLine="0"/>
              <w:jc w:val="center"/>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2-4</w:t>
            </w:r>
          </w:p>
          <w:p w:rsidR="008B7BB4" w:rsidRDefault="008B7BB4" w:rsidP="00CC4F0C">
            <w:pPr>
              <w:pStyle w:val="a4"/>
              <w:tabs>
                <w:tab w:val="left" w:pos="0"/>
                <w:tab w:val="left" w:pos="567"/>
              </w:tabs>
              <w:ind w:left="0" w:firstLine="0"/>
              <w:jc w:val="center"/>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8</w:t>
            </w:r>
          </w:p>
          <w:p w:rsidR="008B7BB4" w:rsidRDefault="008B7BB4" w:rsidP="00CC4F0C">
            <w:pPr>
              <w:pStyle w:val="a4"/>
              <w:tabs>
                <w:tab w:val="left" w:pos="0"/>
                <w:tab w:val="left" w:pos="567"/>
              </w:tabs>
              <w:ind w:left="0" w:firstLine="0"/>
              <w:jc w:val="center"/>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15</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0,5</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0,8</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0,45</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0,55</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0,3</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0,55</w:t>
            </w:r>
          </w:p>
        </w:tc>
        <w:tc>
          <w:tcPr>
            <w:tcW w:w="992"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0,3</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w:t>
            </w:r>
          </w:p>
        </w:tc>
        <w:tc>
          <w:tcPr>
            <w:tcW w:w="958"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0,75</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0,75</w:t>
            </w:r>
          </w:p>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0,75</w:t>
            </w:r>
          </w:p>
        </w:tc>
      </w:tr>
      <w:tr w:rsidR="008B7BB4" w:rsidTr="00CC4F0C">
        <w:tc>
          <w:tcPr>
            <w:tcW w:w="613"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2</w:t>
            </w:r>
          </w:p>
        </w:tc>
        <w:tc>
          <w:tcPr>
            <w:tcW w:w="3606"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Ток шығысының (токоотводы) жалғанған нүктесінен екі қарама-қарсы жаққа айырылатын ұзындықтары 5 м болатын екі горизонталь сызықтар</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0,65</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0,55</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0,45</w:t>
            </w:r>
          </w:p>
        </w:tc>
        <w:tc>
          <w:tcPr>
            <w:tcW w:w="992"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w:t>
            </w:r>
          </w:p>
        </w:tc>
        <w:tc>
          <w:tcPr>
            <w:tcW w:w="958"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1</w:t>
            </w:r>
          </w:p>
        </w:tc>
      </w:tr>
      <w:tr w:rsidR="008B7BB4" w:rsidTr="00CC4F0C">
        <w:tc>
          <w:tcPr>
            <w:tcW w:w="613"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3</w:t>
            </w:r>
          </w:p>
        </w:tc>
        <w:tc>
          <w:tcPr>
            <w:tcW w:w="3606"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Ток шығысының (токоотводы) жалғанған нүктесінен симметриялы түрде айырыоатын ұзындықтары 5 м болатын үш сызық</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0,6</w:t>
            </w:r>
          </w:p>
        </w:tc>
        <w:tc>
          <w:tcPr>
            <w:tcW w:w="1134"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0,5</w:t>
            </w:r>
          </w:p>
        </w:tc>
        <w:tc>
          <w:tcPr>
            <w:tcW w:w="992"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0,45</w:t>
            </w:r>
          </w:p>
        </w:tc>
        <w:tc>
          <w:tcPr>
            <w:tcW w:w="958" w:type="dxa"/>
          </w:tcPr>
          <w:p w:rsidR="008B7BB4" w:rsidRDefault="008B7BB4" w:rsidP="00CC4F0C">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0,75</w:t>
            </w:r>
          </w:p>
        </w:tc>
      </w:tr>
    </w:tbl>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Ағу (растекание) кедергісін есептеу формулалары келтірілген әдебиеттен алынады.</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 xml:space="preserve">Найзағайға қарсы қондырғы бойымен найзағай тогы өткен кезде жерге қосқыштың кедергісі мен ток енгізгіш (токовод) индуктивтігіне кернеудің түсуі туындайды. Мұндай жағдайда найзағайға қарсы қондырғыдан тарату қондырғысының қандай да бір бөлігіне </w:t>
      </w:r>
      <w:r>
        <w:rPr>
          <w:rFonts w:ascii="Times New Roman" w:eastAsiaTheme="minorEastAsia" w:hAnsi="Times New Roman" w:cs="Times New Roman"/>
          <w:sz w:val="24"/>
          <w:szCs w:val="24"/>
          <w:lang w:val="kk-KZ"/>
        </w:rPr>
        <w:lastRenderedPageBreak/>
        <w:t>ток өтуі мүмкін. Сондықтан қосалқы станциаларда жеке тұрған найзағайға қарсы қондырғыны орнату кезінде ауа бойымен және жер бойымен қауіпсіз ара қашықтық анықталуы тиіс. Ауа кернеулігі Е</w:t>
      </w:r>
      <w:r w:rsidRPr="000B1B31">
        <w:rPr>
          <w:rFonts w:ascii="Times New Roman" w:eastAsiaTheme="minorEastAsia" w:hAnsi="Times New Roman" w:cs="Times New Roman"/>
          <w:sz w:val="24"/>
          <w:szCs w:val="24"/>
          <w:vertAlign w:val="subscript"/>
          <w:lang w:val="kk-KZ"/>
        </w:rPr>
        <w:t>ауа</w:t>
      </w:r>
      <w:r w:rsidRPr="000B1B31">
        <w:rPr>
          <w:rFonts w:ascii="Times New Roman" w:eastAsiaTheme="minorEastAsia" w:hAnsi="Times New Roman" w:cs="Times New Roman"/>
          <w:sz w:val="24"/>
          <w:szCs w:val="24"/>
          <w:lang w:val="kk-KZ"/>
        </w:rPr>
        <w:t>=</w:t>
      </w:r>
      <w:r>
        <w:rPr>
          <w:rFonts w:ascii="Times New Roman" w:eastAsiaTheme="minorEastAsia" w:hAnsi="Times New Roman" w:cs="Times New Roman"/>
          <w:sz w:val="24"/>
          <w:szCs w:val="24"/>
          <w:lang w:val="kk-KZ"/>
        </w:rPr>
        <w:t xml:space="preserve">500 кВ/м болған кезде </w:t>
      </w:r>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B </m:t>
            </m:r>
          </m:sub>
        </m:sSub>
      </m:oMath>
      <w:r>
        <w:rPr>
          <w:rFonts w:ascii="Times New Roman" w:eastAsiaTheme="minorEastAsia" w:hAnsi="Times New Roman" w:cs="Times New Roman"/>
          <w:sz w:val="24"/>
          <w:szCs w:val="24"/>
          <w:lang w:val="kk-KZ"/>
        </w:rPr>
        <w:t xml:space="preserve"> келесі түрде анықталады:</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i/>
          <w:sz w:val="24"/>
          <w:szCs w:val="24"/>
          <w:lang w:val="kk-KZ"/>
        </w:rPr>
      </w:pPr>
      <m:oMathPara>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B </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lang w:val="en-US"/>
                    </w:rPr>
                    <m:t>U</m:t>
                  </m:r>
                </m:e>
                <m:sub>
                  <m:r>
                    <w:rPr>
                      <w:rFonts w:ascii="Cambria Math" w:hAnsi="Cambria Math" w:cs="Times New Roman"/>
                      <w:sz w:val="24"/>
                      <w:szCs w:val="24"/>
                    </w:rPr>
                    <m:t>h</m:t>
                  </m:r>
                </m:sub>
              </m:sSub>
            </m:num>
            <m:den>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lang w:val="kk-KZ"/>
                    </w:rPr>
                    <m:t>ауа</m:t>
                  </m:r>
                </m:sub>
              </m:sSub>
            </m:den>
          </m:f>
        </m:oMath>
      </m:oMathPara>
    </w:p>
    <w:p w:rsidR="008B7BB4" w:rsidRPr="000B1B31"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Жер кернеулігі Е</w:t>
      </w:r>
      <w:r w:rsidRPr="000B1B31">
        <w:rPr>
          <w:rFonts w:ascii="Times New Roman" w:eastAsiaTheme="minorEastAsia" w:hAnsi="Times New Roman" w:cs="Times New Roman"/>
          <w:sz w:val="24"/>
          <w:szCs w:val="24"/>
          <w:vertAlign w:val="subscript"/>
          <w:lang w:val="kk-KZ"/>
        </w:rPr>
        <w:t>ауа</w:t>
      </w:r>
      <w:r w:rsidRPr="000B1B31">
        <w:rPr>
          <w:rFonts w:ascii="Times New Roman" w:eastAsiaTheme="minorEastAsia" w:hAnsi="Times New Roman" w:cs="Times New Roman"/>
          <w:sz w:val="24"/>
          <w:szCs w:val="24"/>
          <w:lang w:val="kk-KZ"/>
        </w:rPr>
        <w:t>=</w:t>
      </w:r>
      <w:r>
        <w:rPr>
          <w:rFonts w:ascii="Times New Roman" w:eastAsiaTheme="minorEastAsia" w:hAnsi="Times New Roman" w:cs="Times New Roman"/>
          <w:sz w:val="24"/>
          <w:szCs w:val="24"/>
          <w:lang w:val="kk-KZ"/>
        </w:rPr>
        <w:t xml:space="preserve">300 кВ/м болған кезде жерге қосқыш пен қондырғының жерге қосу нүктесі арасындағы ара-қашықтық </w:t>
      </w:r>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З </m:t>
            </m:r>
          </m:sub>
        </m:sSub>
      </m:oMath>
      <w:r>
        <w:rPr>
          <w:rFonts w:ascii="Times New Roman" w:eastAsiaTheme="minorEastAsia" w:hAnsi="Times New Roman" w:cs="Times New Roman"/>
          <w:sz w:val="24"/>
          <w:szCs w:val="24"/>
          <w:lang w:val="kk-KZ"/>
        </w:rPr>
        <w:t xml:space="preserve"> келесі түрде анықталады:</w:t>
      </w:r>
    </w:p>
    <w:p w:rsidR="008B7BB4" w:rsidRPr="001A6523"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m:oMathPara>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З </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lang w:val="en-US"/>
                    </w:rPr>
                    <m:t>U</m:t>
                  </m:r>
                </m:e>
                <m:sub>
                  <m:r>
                    <w:rPr>
                      <w:rFonts w:ascii="Cambria Math" w:hAnsi="Cambria Math" w:cs="Times New Roman"/>
                      <w:sz w:val="24"/>
                      <w:szCs w:val="24"/>
                    </w:rPr>
                    <m:t>h</m:t>
                  </m:r>
                </m:sub>
              </m:sSub>
            </m:num>
            <m:den>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lang w:val="kk-KZ"/>
                    </w:rPr>
                    <m:t>З</m:t>
                  </m:r>
                </m:sub>
              </m:sSub>
            </m:den>
          </m:f>
        </m:oMath>
      </m:oMathPara>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t xml:space="preserve">Сонымен қатар </w:t>
      </w:r>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В </m:t>
            </m:r>
          </m:sub>
        </m:sSub>
      </m:oMath>
      <w:r>
        <w:rPr>
          <w:rFonts w:ascii="Times New Roman" w:eastAsiaTheme="minorEastAsia" w:hAnsi="Times New Roman" w:cs="Times New Roman"/>
          <w:sz w:val="24"/>
          <w:szCs w:val="24"/>
          <w:lang w:val="kk-KZ"/>
        </w:rPr>
        <w:t xml:space="preserve"> 5 м-ден кем болмауы тиіс, ал </w:t>
      </w:r>
      <m:oMath>
        <m:sSub>
          <m:sSubPr>
            <m:ctrlPr>
              <w:rPr>
                <w:rFonts w:ascii="Cambria Math" w:hAnsi="Cambria Math" w:cs="Times New Roman"/>
                <w:sz w:val="24"/>
                <w:szCs w:val="24"/>
                <w:lang w:val="kk-KZ"/>
              </w:rPr>
            </m:ctrlPr>
          </m:sSubPr>
          <m:e>
            <m:r>
              <w:rPr>
                <w:rFonts w:ascii="Cambria Math" w:hAnsi="Cambria Math" w:cs="Times New Roman"/>
                <w:sz w:val="24"/>
                <w:szCs w:val="24"/>
                <w:lang w:val="kk-KZ"/>
              </w:rPr>
              <m:t>L</m:t>
            </m:r>
          </m:e>
          <m:sub>
            <m:r>
              <m:rPr>
                <m:sty m:val="p"/>
              </m:rPr>
              <w:rPr>
                <w:rFonts w:ascii="Cambria Math" w:hAnsi="Cambria Math" w:cs="Times New Roman"/>
                <w:sz w:val="24"/>
                <w:szCs w:val="24"/>
                <w:lang w:val="kk-KZ"/>
              </w:rPr>
              <m:t xml:space="preserve">З </m:t>
            </m:r>
          </m:sub>
        </m:sSub>
      </m:oMath>
      <w:r>
        <w:rPr>
          <w:rFonts w:ascii="Times New Roman" w:eastAsiaTheme="minorEastAsia" w:hAnsi="Times New Roman" w:cs="Times New Roman"/>
          <w:sz w:val="24"/>
          <w:szCs w:val="24"/>
          <w:lang w:val="kk-KZ"/>
        </w:rPr>
        <w:t xml:space="preserve">  3 м-ден кем болмауы тиіс.</w:t>
      </w:r>
    </w:p>
    <w:p w:rsidR="008B7BB4" w:rsidRDefault="008B7BB4" w:rsidP="008B7BB4">
      <w:pPr>
        <w:pStyle w:val="a4"/>
        <w:tabs>
          <w:tab w:val="left" w:pos="0"/>
          <w:tab w:val="left" w:pos="567"/>
        </w:tabs>
        <w:ind w:left="0" w:firstLine="0"/>
        <w:jc w:val="both"/>
        <w:rPr>
          <w:rFonts w:ascii="Times New Roman" w:eastAsiaTheme="minorEastAsia" w:hAnsi="Times New Roman" w:cs="Times New Roman"/>
          <w:sz w:val="24"/>
          <w:szCs w:val="24"/>
          <w:lang w:val="kk-KZ"/>
        </w:rPr>
      </w:pPr>
      <w:r>
        <w:rPr>
          <w:rFonts w:ascii="Times New Roman" w:eastAsiaTheme="minorEastAsia" w:hAnsi="Times New Roman" w:cs="Times New Roman"/>
          <w:sz w:val="24"/>
          <w:szCs w:val="24"/>
          <w:lang w:val="kk-KZ"/>
        </w:rPr>
        <w:tab/>
      </w:r>
      <w:r w:rsidRPr="00C630CE">
        <w:rPr>
          <w:rFonts w:ascii="Times New Roman" w:eastAsiaTheme="minorEastAsia" w:hAnsi="Times New Roman" w:cs="Times New Roman"/>
          <w:sz w:val="24"/>
          <w:szCs w:val="24"/>
          <w:lang w:val="kk-KZ"/>
        </w:rPr>
        <w:t>h</w:t>
      </w:r>
      <w:r>
        <w:rPr>
          <w:rFonts w:ascii="Times New Roman" w:eastAsiaTheme="minorEastAsia" w:hAnsi="Times New Roman" w:cs="Times New Roman"/>
          <w:sz w:val="24"/>
          <w:szCs w:val="24"/>
          <w:lang w:val="kk-KZ"/>
        </w:rPr>
        <w:t xml:space="preserve"> биіктіктегі объектінің </w:t>
      </w:r>
      <m:oMath>
        <m:sSub>
          <m:sSubPr>
            <m:ctrlPr>
              <w:rPr>
                <w:rFonts w:ascii="Cambria Math" w:hAnsi="Cambria Math" w:cs="Times New Roman"/>
                <w:i/>
                <w:sz w:val="24"/>
                <w:szCs w:val="24"/>
              </w:rPr>
            </m:ctrlPr>
          </m:sSubPr>
          <m:e>
            <m:r>
              <w:rPr>
                <w:rFonts w:ascii="Cambria Math" w:hAnsi="Cambria Math" w:cs="Times New Roman"/>
                <w:sz w:val="24"/>
                <w:szCs w:val="24"/>
                <w:lang w:val="kk-KZ"/>
              </w:rPr>
              <m:t>U</m:t>
            </m:r>
          </m:e>
          <m:sub>
            <m:r>
              <w:rPr>
                <w:rFonts w:ascii="Cambria Math" w:hAnsi="Cambria Math" w:cs="Times New Roman"/>
                <w:sz w:val="24"/>
                <w:szCs w:val="24"/>
                <w:lang w:val="kk-KZ"/>
              </w:rPr>
              <m:t>h</m:t>
            </m:r>
          </m:sub>
        </m:sSub>
      </m:oMath>
      <w:r>
        <w:rPr>
          <w:rFonts w:ascii="Times New Roman" w:eastAsiaTheme="minorEastAsia" w:hAnsi="Times New Roman" w:cs="Times New Roman"/>
          <w:sz w:val="24"/>
          <w:szCs w:val="24"/>
          <w:lang w:val="kk-KZ"/>
        </w:rPr>
        <w:t xml:space="preserve"> кернеуі келесі түрде анықталады:</w:t>
      </w:r>
    </w:p>
    <w:p w:rsidR="008B7BB4" w:rsidRPr="00CF3BA8" w:rsidRDefault="008B7BB4" w:rsidP="008B7BB4">
      <w:pPr>
        <w:pStyle w:val="a4"/>
        <w:tabs>
          <w:tab w:val="left" w:pos="0"/>
          <w:tab w:val="left" w:pos="567"/>
        </w:tabs>
        <w:ind w:left="0" w:firstLine="0"/>
        <w:jc w:val="both"/>
        <w:rPr>
          <w:rFonts w:ascii="Times New Roman" w:eastAsiaTheme="minorEastAsia" w:hAnsi="Times New Roman" w:cs="Times New Roman"/>
          <w:i/>
          <w:sz w:val="24"/>
          <w:szCs w:val="24"/>
          <w:lang w:val="en-US"/>
        </w:rPr>
      </w:pPr>
      <m:oMathPara>
        <m:oMath>
          <m:sSub>
            <m:sSubPr>
              <m:ctrlPr>
                <w:rPr>
                  <w:rFonts w:ascii="Cambria Math" w:hAnsi="Cambria Math" w:cs="Times New Roman"/>
                  <w:i/>
                  <w:sz w:val="24"/>
                  <w:szCs w:val="24"/>
                </w:rPr>
              </m:ctrlPr>
            </m:sSubPr>
            <m:e>
              <m:r>
                <w:rPr>
                  <w:rFonts w:ascii="Cambria Math" w:hAnsi="Cambria Math" w:cs="Times New Roman"/>
                  <w:sz w:val="24"/>
                  <w:szCs w:val="24"/>
                  <w:lang w:val="en-US"/>
                </w:rPr>
                <m:t>U</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M</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kk-KZ"/>
                </w:rPr>
                <m:t>И</m:t>
              </m:r>
            </m:sub>
          </m:sSub>
          <m:r>
            <w:rPr>
              <w:rFonts w:ascii="Cambria Math" w:hAnsi="Cambria Math" w:cs="Times New Roman"/>
              <w:sz w:val="24"/>
              <w:szCs w:val="24"/>
              <w:lang w:val="en-US"/>
            </w:rPr>
            <m:t>+а∙</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0</m:t>
              </m:r>
            </m:sub>
          </m:sSub>
          <m:r>
            <w:rPr>
              <w:rFonts w:ascii="Cambria Math" w:hAnsi="Cambria Math" w:cs="Times New Roman"/>
              <w:sz w:val="24"/>
              <w:szCs w:val="24"/>
              <w:lang w:val="en-US"/>
            </w:rPr>
            <m:t>∙h</m:t>
          </m:r>
        </m:oMath>
      </m:oMathPara>
    </w:p>
    <w:p w:rsidR="008B7BB4" w:rsidRDefault="008B7BB4" w:rsidP="008B7BB4">
      <w:pPr>
        <w:pStyle w:val="a4"/>
        <w:tabs>
          <w:tab w:val="left" w:pos="142"/>
          <w:tab w:val="left" w:pos="567"/>
          <w:tab w:val="left" w:pos="975"/>
        </w:tabs>
        <w:ind w:left="0" w:firstLine="0"/>
        <w:jc w:val="both"/>
        <w:rPr>
          <w:rFonts w:ascii="Times New Roman" w:eastAsiaTheme="minorEastAsia" w:hAnsi="Times New Roman" w:cs="Times New Roman"/>
          <w:sz w:val="24"/>
          <w:szCs w:val="24"/>
          <w:lang w:val="kk-KZ"/>
        </w:rPr>
      </w:pP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Мұндағы </w:t>
      </w:r>
      <m:oMath>
        <m:sSub>
          <m:sSubPr>
            <m:ctrlPr>
              <w:rPr>
                <w:rFonts w:ascii="Cambria Math" w:hAnsi="Cambria Math" w:cs="Times New Roman"/>
                <w:i/>
                <w:sz w:val="24"/>
                <w:szCs w:val="24"/>
                <w:lang w:val="en-US"/>
              </w:rPr>
            </m:ctrlPr>
          </m:sSubPr>
          <m:e>
            <m:r>
              <w:rPr>
                <w:rFonts w:ascii="Cambria Math" w:hAnsi="Cambria Math" w:cs="Times New Roman"/>
                <w:sz w:val="24"/>
                <w:szCs w:val="24"/>
                <w:lang w:val="kk-KZ"/>
              </w:rPr>
              <m:t>I</m:t>
            </m:r>
          </m:e>
          <m:sub>
            <m:r>
              <w:rPr>
                <w:rFonts w:ascii="Cambria Math" w:hAnsi="Cambria Math" w:cs="Times New Roman"/>
                <w:sz w:val="24"/>
                <w:szCs w:val="24"/>
                <w:lang w:val="kk-KZ"/>
              </w:rPr>
              <m:t>M</m:t>
            </m:r>
          </m:sub>
        </m:sSub>
      </m:oMath>
      <w:r>
        <w:rPr>
          <w:rFonts w:ascii="Times New Roman" w:eastAsiaTheme="minorEastAsia" w:hAnsi="Times New Roman" w:cs="Times New Roman"/>
          <w:sz w:val="24"/>
          <w:szCs w:val="24"/>
          <w:lang w:val="kk-KZ"/>
        </w:rPr>
        <w:t xml:space="preserve"> - найзағай тогының амплитудасы, </w:t>
      </w:r>
      <m:oMath>
        <m:r>
          <w:rPr>
            <w:rFonts w:ascii="Cambria Math" w:hAnsi="Cambria Math" w:cs="Times New Roman"/>
            <w:sz w:val="24"/>
            <w:szCs w:val="24"/>
            <w:lang w:val="kk-KZ"/>
          </w:rPr>
          <m:t xml:space="preserve">а- </m:t>
        </m:r>
      </m:oMath>
      <w:r>
        <w:rPr>
          <w:rFonts w:ascii="Times New Roman" w:eastAsiaTheme="minorEastAsia" w:hAnsi="Times New Roman" w:cs="Times New Roman"/>
          <w:sz w:val="24"/>
          <w:szCs w:val="24"/>
          <w:lang w:val="kk-KZ"/>
        </w:rPr>
        <w:t>найзағай тоғының есептік құлама коэффициенті (крутизна) а</w:t>
      </w:r>
      <w:r w:rsidRPr="00CF3BA8">
        <w:rPr>
          <w:rFonts w:ascii="Times New Roman" w:eastAsiaTheme="minorEastAsia" w:hAnsi="Times New Roman" w:cs="Times New Roman"/>
          <w:sz w:val="24"/>
          <w:szCs w:val="24"/>
          <w:lang w:val="kk-KZ"/>
        </w:rPr>
        <w:t>=</w:t>
      </w:r>
      <w:r>
        <w:rPr>
          <w:rFonts w:ascii="Times New Roman" w:eastAsiaTheme="minorEastAsia" w:hAnsi="Times New Roman" w:cs="Times New Roman"/>
          <w:sz w:val="24"/>
          <w:szCs w:val="24"/>
          <w:lang w:val="kk-KZ"/>
        </w:rPr>
        <w:t xml:space="preserve">30 кА/мкс; </w:t>
      </w:r>
      <m:oMath>
        <m:sSub>
          <m:sSubPr>
            <m:ctrlPr>
              <w:rPr>
                <w:rFonts w:ascii="Cambria Math" w:hAnsi="Cambria Math" w:cs="Times New Roman"/>
                <w:i/>
                <w:sz w:val="24"/>
                <w:szCs w:val="24"/>
                <w:lang w:val="en-US"/>
              </w:rPr>
            </m:ctrlPr>
          </m:sSubPr>
          <m:e>
            <m:r>
              <w:rPr>
                <w:rFonts w:ascii="Cambria Math" w:hAnsi="Cambria Math" w:cs="Times New Roman"/>
                <w:sz w:val="24"/>
                <w:szCs w:val="24"/>
                <w:lang w:val="kk-KZ"/>
              </w:rPr>
              <m:t>L</m:t>
            </m:r>
          </m:e>
          <m:sub>
            <m:r>
              <w:rPr>
                <w:rFonts w:ascii="Cambria Math" w:hAnsi="Cambria Math" w:cs="Times New Roman"/>
                <w:sz w:val="24"/>
                <w:szCs w:val="24"/>
                <w:lang w:val="kk-KZ"/>
              </w:rPr>
              <m:t>0</m:t>
            </m:r>
          </m:sub>
        </m:sSub>
      </m:oMath>
      <w:r>
        <w:rPr>
          <w:rFonts w:ascii="Times New Roman" w:eastAsiaTheme="minorEastAsia" w:hAnsi="Times New Roman" w:cs="Times New Roman"/>
          <w:sz w:val="24"/>
          <w:szCs w:val="24"/>
          <w:lang w:val="kk-KZ"/>
        </w:rPr>
        <w:t xml:space="preserve"> - ток енгізгіш ұзындық бірлігінің индуктивтілігі; </w:t>
      </w:r>
      <m:oMath>
        <m:sSub>
          <m:sSubPr>
            <m:ctrlPr>
              <w:rPr>
                <w:rFonts w:ascii="Cambria Math" w:hAnsi="Cambria Math" w:cs="Times New Roman"/>
                <w:i/>
                <w:sz w:val="24"/>
                <w:szCs w:val="24"/>
                <w:lang w:val="en-US"/>
              </w:rPr>
            </m:ctrlPr>
          </m:sSubPr>
          <m:e>
            <m:r>
              <w:rPr>
                <w:rFonts w:ascii="Cambria Math" w:hAnsi="Cambria Math" w:cs="Times New Roman"/>
                <w:sz w:val="24"/>
                <w:szCs w:val="24"/>
                <w:lang w:val="kk-KZ"/>
              </w:rPr>
              <m:t>L</m:t>
            </m:r>
          </m:e>
          <m:sub>
            <m:r>
              <w:rPr>
                <w:rFonts w:ascii="Cambria Math" w:hAnsi="Cambria Math" w:cs="Times New Roman"/>
                <w:sz w:val="24"/>
                <w:szCs w:val="24"/>
                <w:lang w:val="kk-KZ"/>
              </w:rPr>
              <m:t>0</m:t>
            </m:r>
          </m:sub>
        </m:sSub>
        <m:r>
          <w:rPr>
            <w:rFonts w:ascii="Cambria Math" w:hAnsi="Cambria Math" w:cs="Times New Roman"/>
            <w:sz w:val="24"/>
            <w:szCs w:val="24"/>
            <w:lang w:val="kk-KZ"/>
          </w:rPr>
          <m:t>=1,7 мкГн/м</m:t>
        </m:r>
      </m:oMath>
      <w:r>
        <w:rPr>
          <w:rFonts w:ascii="Times New Roman" w:eastAsiaTheme="minorEastAsia" w:hAnsi="Times New Roman" w:cs="Times New Roman"/>
          <w:sz w:val="24"/>
          <w:szCs w:val="24"/>
          <w:lang w:val="kk-KZ"/>
        </w:rPr>
        <w:t>.</w:t>
      </w:r>
    </w:p>
    <w:p w:rsidR="008B7BB4" w:rsidRDefault="008B7BB4" w:rsidP="008B7BB4">
      <w:pPr>
        <w:pStyle w:val="a4"/>
        <w:tabs>
          <w:tab w:val="left" w:pos="142"/>
          <w:tab w:val="left" w:pos="975"/>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Стерженьді бір найзағайға қарсы қондырғының (одиночный молниеотвод) қорғаныс аймағы конус тәріздес бетпен шектеледі. Һ биіктіктегі қорғаныс аймағының радиусы келесі түрде анықталады:</w:t>
      </w:r>
    </w:p>
    <w:p w:rsidR="008B7BB4" w:rsidRDefault="008B7BB4" w:rsidP="008B7BB4">
      <w:pPr>
        <w:pStyle w:val="a4"/>
        <w:tabs>
          <w:tab w:val="left" w:pos="142"/>
          <w:tab w:val="left" w:pos="567"/>
          <w:tab w:val="left" w:pos="975"/>
        </w:tabs>
        <w:ind w:left="567" w:hanging="567"/>
        <w:jc w:val="both"/>
        <w:rPr>
          <w:rFonts w:ascii="Times New Roman" w:eastAsiaTheme="minorEastAsia"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h</m:t>
              </m:r>
            </m:sub>
          </m:sSub>
          <m:r>
            <w:rPr>
              <w:rFonts w:ascii="Cambria Math" w:hAnsi="Cambria Math" w:cs="Times New Roman"/>
              <w:sz w:val="24"/>
              <w:szCs w:val="24"/>
              <w:lang w:val="en-US"/>
            </w:rPr>
            <m:t>=</m:t>
          </m:r>
          <m:rad>
            <m:radPr>
              <m:degHide m:val="on"/>
              <m:ctrlPr>
                <w:rPr>
                  <w:rFonts w:ascii="Cambria Math" w:hAnsi="Cambria Math" w:cs="Times New Roman"/>
                  <w:i/>
                  <w:sz w:val="24"/>
                  <w:szCs w:val="24"/>
                  <w:lang w:val="en-US"/>
                </w:rPr>
              </m:ctrlPr>
            </m:radPr>
            <m:deg/>
            <m:e>
              <m:sSup>
                <m:sSupPr>
                  <m:ctrlPr>
                    <w:rPr>
                      <w:rFonts w:ascii="Cambria Math" w:hAnsi="Cambria Math" w:cs="Times New Roman"/>
                      <w:i/>
                      <w:sz w:val="24"/>
                      <w:szCs w:val="24"/>
                      <w:lang w:val="en-US"/>
                    </w:rPr>
                  </m:ctrlPr>
                </m:sSupPr>
                <m:e>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B min</m:t>
                          </m:r>
                        </m:sub>
                      </m:sSub>
                      <m:r>
                        <w:rPr>
                          <w:rFonts w:ascii="Cambria Math" w:hAnsi="Cambria Math" w:cs="Times New Roman"/>
                          <w:sz w:val="24"/>
                          <w:szCs w:val="24"/>
                          <w:lang w:val="en-US"/>
                        </w:rPr>
                        <m:t>+a</m:t>
                      </m:r>
                    </m:e>
                  </m:d>
                </m:e>
                <m:sup>
                  <m:r>
                    <w:rPr>
                      <w:rFonts w:ascii="Cambria Math" w:hAnsi="Cambria Math" w:cs="Times New Roman"/>
                      <w:sz w:val="24"/>
                      <w:szCs w:val="24"/>
                      <w:lang w:val="en-US"/>
                    </w:rPr>
                    <m:t>2</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d>
                    <m:dPr>
                      <m:ctrlPr>
                        <w:rPr>
                          <w:rFonts w:ascii="Cambria Math" w:hAnsi="Cambria Math" w:cs="Times New Roman"/>
                          <w:i/>
                          <w:sz w:val="24"/>
                          <w:szCs w:val="24"/>
                          <w:lang w:val="en-US"/>
                        </w:rPr>
                      </m:ctrlPr>
                    </m:dPr>
                    <m:e>
                      <m:f>
                        <m:fPr>
                          <m:ctrlPr>
                            <w:rPr>
                              <w:rFonts w:ascii="Cambria Math" w:hAnsi="Cambria Math" w:cs="Times New Roman"/>
                              <w:i/>
                              <w:sz w:val="24"/>
                              <w:szCs w:val="24"/>
                              <w:lang w:val="en-US"/>
                            </w:rPr>
                          </m:ctrlPr>
                        </m:fPr>
                        <m:num>
                          <m:r>
                            <w:rPr>
                              <w:rFonts w:ascii="Cambria Math" w:hAnsi="Cambria Math" w:cs="Times New Roman"/>
                              <w:sz w:val="24"/>
                              <w:szCs w:val="24"/>
                              <w:lang w:val="en-US"/>
                            </w:rPr>
                            <m:t>b</m:t>
                          </m:r>
                        </m:num>
                        <m:den>
                          <m:r>
                            <w:rPr>
                              <w:rFonts w:ascii="Cambria Math" w:hAnsi="Cambria Math" w:cs="Times New Roman"/>
                              <w:sz w:val="24"/>
                              <w:szCs w:val="24"/>
                              <w:lang w:val="en-US"/>
                            </w:rPr>
                            <m:t>2</m:t>
                          </m:r>
                        </m:den>
                      </m:f>
                    </m:e>
                  </m:d>
                </m:e>
                <m:sup>
                  <m:r>
                    <w:rPr>
                      <w:rFonts w:ascii="Cambria Math" w:hAnsi="Cambria Math" w:cs="Times New Roman"/>
                      <w:sz w:val="24"/>
                      <w:szCs w:val="24"/>
                      <w:lang w:val="en-US"/>
                    </w:rPr>
                    <m:t>2</m:t>
                  </m:r>
                </m:sup>
              </m:sSup>
            </m:e>
          </m:rad>
        </m:oMath>
      </m:oMathPara>
    </w:p>
    <w:p w:rsidR="008B7BB4" w:rsidRPr="00CF3BA8" w:rsidRDefault="008B7BB4" w:rsidP="008B7BB4">
      <w:pPr>
        <w:pStyle w:val="a4"/>
        <w:tabs>
          <w:tab w:val="left" w:pos="142"/>
          <w:tab w:val="left" w:pos="567"/>
          <w:tab w:val="left" w:pos="975"/>
        </w:tabs>
        <w:ind w:left="567" w:hanging="567"/>
        <w:jc w:val="center"/>
        <w:rPr>
          <w:rFonts w:ascii="Times New Roman" w:hAnsi="Times New Roman" w:cs="Times New Roman"/>
          <w:sz w:val="24"/>
          <w:szCs w:val="24"/>
          <w:lang w:val="kk-KZ"/>
        </w:rPr>
      </w:pPr>
    </w:p>
    <w:p w:rsidR="008B7BB4" w:rsidRDefault="008B7BB4" w:rsidP="008B7BB4">
      <w:pPr>
        <w:jc w:val="center"/>
        <w:rPr>
          <w:lang w:val="en-US"/>
        </w:rPr>
      </w:pPr>
      <w:r>
        <w:rPr>
          <w:noProof/>
          <w:lang w:eastAsia="ru-RU"/>
        </w:rPr>
        <w:drawing>
          <wp:inline distT="0" distB="0" distL="0" distR="0">
            <wp:extent cx="1237256" cy="584975"/>
            <wp:effectExtent l="19050" t="0" r="994"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cstate="print"/>
                    <a:srcRect l="28281" t="85085" r="64585" b="8926"/>
                    <a:stretch>
                      <a:fillRect/>
                    </a:stretch>
                  </pic:blipFill>
                  <pic:spPr bwMode="auto">
                    <a:xfrm>
                      <a:off x="0" y="0"/>
                      <a:ext cx="1238465" cy="585547"/>
                    </a:xfrm>
                    <a:prstGeom prst="rect">
                      <a:avLst/>
                    </a:prstGeom>
                    <a:noFill/>
                    <a:ln w="9525">
                      <a:noFill/>
                      <a:miter lim="800000"/>
                      <a:headEnd/>
                      <a:tailEnd/>
                    </a:ln>
                  </pic:spPr>
                </pic:pic>
              </a:graphicData>
            </a:graphic>
          </wp:inline>
        </w:drawing>
      </w:r>
    </w:p>
    <w:p w:rsidR="008B7BB4" w:rsidRPr="00DB6778" w:rsidRDefault="008B7BB4" w:rsidP="008B7BB4">
      <w:pPr>
        <w:jc w:val="both"/>
        <w:rPr>
          <w:rFonts w:ascii="Times New Roman" w:hAnsi="Times New Roman" w:cs="Times New Roman"/>
          <w:sz w:val="24"/>
          <w:lang w:val="kk-KZ"/>
        </w:rPr>
      </w:pPr>
      <w:r w:rsidRPr="00DB6778">
        <w:rPr>
          <w:rFonts w:ascii="Times New Roman" w:hAnsi="Times New Roman" w:cs="Times New Roman"/>
          <w:sz w:val="24"/>
          <w:lang w:val="kk-KZ"/>
        </w:rPr>
        <w:t xml:space="preserve">Найзағайға </w:t>
      </w:r>
      <w:r>
        <w:rPr>
          <w:rFonts w:ascii="Times New Roman" w:hAnsi="Times New Roman" w:cs="Times New Roman"/>
          <w:sz w:val="24"/>
          <w:lang w:val="kk-KZ"/>
        </w:rPr>
        <w:t>қарсы қондырғының биіктігін анықтау:</w:t>
      </w:r>
    </w:p>
    <w:p w:rsidR="008B7BB4" w:rsidRPr="00DB6778" w:rsidRDefault="008B7BB4" w:rsidP="008B7BB4">
      <w:pPr>
        <w:ind w:left="0" w:firstLine="0"/>
        <w:rPr>
          <w:rFonts w:ascii="Times New Roman" w:hAnsi="Times New Roman" w:cs="Times New Roman"/>
          <w:sz w:val="24"/>
          <w:lang w:val="kk-KZ"/>
        </w:rPr>
      </w:pPr>
    </w:p>
    <w:p w:rsidR="008B7BB4" w:rsidRDefault="008B7BB4" w:rsidP="008B7BB4">
      <w:pPr>
        <w:jc w:val="center"/>
        <w:rPr>
          <w:lang w:val="kk-KZ"/>
        </w:rPr>
      </w:pPr>
      <w:r>
        <w:rPr>
          <w:noProof/>
          <w:lang w:eastAsia="ru-RU"/>
        </w:rPr>
        <w:drawing>
          <wp:inline distT="0" distB="0" distL="0" distR="0">
            <wp:extent cx="1630017" cy="604299"/>
            <wp:effectExtent l="19050" t="0" r="8283"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cstate="print"/>
                    <a:srcRect l="26713" t="21006" r="64030" b="72892"/>
                    <a:stretch>
                      <a:fillRect/>
                    </a:stretch>
                  </pic:blipFill>
                  <pic:spPr bwMode="auto">
                    <a:xfrm>
                      <a:off x="0" y="0"/>
                      <a:ext cx="1630017" cy="604299"/>
                    </a:xfrm>
                    <a:prstGeom prst="rect">
                      <a:avLst/>
                    </a:prstGeom>
                    <a:noFill/>
                    <a:ln w="9525">
                      <a:noFill/>
                      <a:miter lim="800000"/>
                      <a:headEnd/>
                      <a:tailEnd/>
                    </a:ln>
                  </pic:spPr>
                </pic:pic>
              </a:graphicData>
            </a:graphic>
          </wp:inline>
        </w:drawing>
      </w:r>
    </w:p>
    <w:p w:rsidR="002967C2" w:rsidRDefault="002967C2"/>
    <w:sectPr w:rsidR="002967C2" w:rsidSect="002967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B7BB4"/>
    <w:rsid w:val="002967C2"/>
    <w:rsid w:val="008B7B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BB4"/>
    <w:pPr>
      <w:spacing w:after="0" w:line="240" w:lineRule="auto"/>
      <w:ind w:left="357" w:hanging="357"/>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7BB4"/>
    <w:pPr>
      <w:spacing w:after="0" w:line="240" w:lineRule="auto"/>
      <w:ind w:left="357" w:hanging="357"/>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8B7BB4"/>
    <w:pPr>
      <w:ind w:left="720"/>
      <w:contextualSpacing/>
    </w:pPr>
  </w:style>
  <w:style w:type="paragraph" w:styleId="a5">
    <w:name w:val="Balloon Text"/>
    <w:basedOn w:val="a"/>
    <w:link w:val="a6"/>
    <w:uiPriority w:val="99"/>
    <w:semiHidden/>
    <w:unhideWhenUsed/>
    <w:rsid w:val="008B7BB4"/>
    <w:rPr>
      <w:rFonts w:ascii="Tahoma" w:hAnsi="Tahoma" w:cs="Tahoma"/>
      <w:sz w:val="16"/>
      <w:szCs w:val="16"/>
    </w:rPr>
  </w:style>
  <w:style w:type="character" w:customStyle="1" w:styleId="a6">
    <w:name w:val="Текст выноски Знак"/>
    <w:basedOn w:val="a0"/>
    <w:link w:val="a5"/>
    <w:uiPriority w:val="99"/>
    <w:semiHidden/>
    <w:rsid w:val="008B7B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2C8CE2-36B1-4358-AA5E-552974225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494</Words>
  <Characters>2816</Characters>
  <Application>Microsoft Office Word</Application>
  <DocSecurity>0</DocSecurity>
  <Lines>23</Lines>
  <Paragraphs>6</Paragraphs>
  <ScaleCrop>false</ScaleCrop>
  <Company>Grizli777</Company>
  <LinksUpToDate>false</LinksUpToDate>
  <CharactersWithSpaces>3304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2019-09-17T08:29:00Z</dcterms:created>
  <dcterms:modified xsi:type="dcterms:W3CDTF">2019-09-17T08:34:00Z</dcterms:modified>
</cp:coreProperties>
</file>